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ПАМЯТКА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для работников БУЗ ВО «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Вологодская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городская поликлиника №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5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»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по вопросам противодействия коррупции</w:t>
      </w:r>
    </w:p>
    <w:p>
      <w:pPr>
        <w:pStyle w:val="Normal"/>
        <w:spacing w:lineRule="exact" w:line="240" w:before="0" w:after="0"/>
        <w:ind w:left="284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Основные понятия, используемые в настоящей памятке.</w:t>
      </w:r>
    </w:p>
    <w:p>
      <w:pPr>
        <w:pStyle w:val="Normal"/>
        <w:spacing w:lineRule="exact" w:line="240" w:before="0" w:after="0"/>
        <w:ind w:left="0" w:right="49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851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Коррупция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>
      <w:pPr>
        <w:pStyle w:val="Normal"/>
        <w:spacing w:lineRule="exact" w:line="240" w:before="0" w:after="0"/>
        <w:ind w:left="0" w:right="49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851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Противодействие коррупции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>
      <w:pPr>
        <w:pStyle w:val="Normal"/>
        <w:spacing w:lineRule="exact" w:line="240" w:before="0" w:after="0"/>
        <w:ind w:left="0" w:right="49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Конфликт интересов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это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причиненью вреда этим законным интересам граждан, организаций, общества, субъекта Российской Федерации или Российской Федерации.</w:t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Конфликт интересов при осуществлении медицинскими работниками профессиональной деятельности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- ситуация, при которой у медицинского работника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 пациента. (статья 75 Федерального закона Российской Федерации от 21.11.2011 N 323-ФЗ "Об основах охраны здоровья граждан в Российской Федерации»).</w:t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Личная заинтересованность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возможность получения работником при исполнении должностных обязанностей  доходов (неосновательного обогащения)  в денежной либо в натуральной форме, доходов в виде материальной выгоды  непосредственно для работника, членов его семьи и лиц, состоящих в родстве и свойстве, а также для граждан или организаций, с которыми работник связан финансовыми или иными обязательствами.</w:t>
      </w:r>
    </w:p>
    <w:p>
      <w:pPr>
        <w:pStyle w:val="Normal"/>
        <w:spacing w:lineRule="exact" w:line="240" w:before="0" w:after="0"/>
        <w:ind w:left="0" w:right="49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49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Должностные лица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tabs>
          <w:tab w:val="left" w:pos="851" w:leader="none"/>
        </w:tabs>
        <w:spacing w:lineRule="exact" w:line="240" w:before="0" w:after="0"/>
        <w:ind w:left="284" w:right="49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Значительный размер взятки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>
      <w:pPr>
        <w:pStyle w:val="Normal"/>
        <w:spacing w:lineRule="exact" w:line="240" w:before="0" w:after="0"/>
        <w:ind w:left="284" w:right="490" w:firstLine="142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 </w:t>
      </w:r>
    </w:p>
    <w:p>
      <w:pPr>
        <w:pStyle w:val="Normal"/>
        <w:spacing w:lineRule="exact" w:line="240" w:before="0" w:after="0"/>
        <w:ind w:left="284" w:right="490" w:firstLine="851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Мошенничество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это хищение чужого имущества или приобретение права на чужое имущество путем обмана или злоупотребления доверием.</w:t>
      </w:r>
    </w:p>
    <w:p>
      <w:pPr>
        <w:pStyle w:val="Normal"/>
        <w:spacing w:lineRule="exact" w:line="240" w:before="0" w:after="0"/>
        <w:ind w:left="0" w:right="49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490" w:firstLine="851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Присвоение или растрата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- это  хищение чужого имущества, вверенного виновному.</w:t>
      </w:r>
    </w:p>
    <w:p>
      <w:pPr>
        <w:pStyle w:val="Normal"/>
        <w:spacing w:lineRule="exact" w:line="240" w:before="0" w:after="0"/>
        <w:ind w:left="0" w:right="49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49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490" w:firstLine="709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ВЗЯТКОЙ МОГУТ БЫТЬ:</w:t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Предметы -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>
      <w:pPr>
        <w:pStyle w:val="Normal"/>
        <w:spacing w:lineRule="exact" w:line="240" w:before="0" w:after="0"/>
        <w:ind w:left="284" w:right="49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 процентных ставок по кредиту и т. д. Минимальный предел суммы взятки (стоимости имущества, услуг и выгод), который бы исключал уголовную ответственность, законом не установлен.</w:t>
      </w:r>
    </w:p>
    <w:p>
      <w:pPr>
        <w:pStyle w:val="Normal"/>
        <w:spacing w:lineRule="exact" w:line="240" w:before="0" w:after="0"/>
        <w:ind w:left="284" w:right="348" w:firstLine="567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МЕДИЦИНСКИЕ РАБОТНИКИ И РУКОВОДИТЕЛИ МЕДИЦИНСКИХ ОРГАНИЗАЦИЙ ПРИ ОСУЩЕСТВЛЕНИИ ИМИ ПРОФЕССИОНАЛЬНОЙ ДЕЯТЕЛЬНОСТИ НЕ ВПРАВЕ: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подарки, денежные средства,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Получать от компании, представителя компании образцы лекарственных препаратов, медицинских изделий для вручения пациентам;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ответственность, предусмотренную законодательством Российской Федерации.</w:t>
      </w:r>
    </w:p>
    <w:p>
      <w:pPr>
        <w:pStyle w:val="Normal"/>
        <w:spacing w:lineRule="exact" w:line="240" w:before="0" w:after="0"/>
        <w:ind w:left="284" w:right="348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(статья 75 Федерального закона Российской Федерации от 21.11.2011 N 323-ФЗ "Об основах охраны здоровья граждан в Российской Федерации»).</w:t>
      </w:r>
    </w:p>
    <w:p>
      <w:pPr>
        <w:pStyle w:val="Normal"/>
        <w:spacing w:lineRule="exact" w:line="240" w:before="0" w:after="0"/>
        <w:ind w:left="284" w:right="348" w:hanging="0"/>
        <w:jc w:val="center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348" w:hanging="0"/>
        <w:jc w:val="center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tbl>
      <w:tblPr>
        <w:tblW w:w="9857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2" w:type="dxa"/>
          <w:bottom w:w="0" w:type="dxa"/>
          <w:right w:w="3" w:type="dxa"/>
        </w:tblCellMar>
      </w:tblPr>
      <w:tblGrid>
        <w:gridCol w:w="2495"/>
        <w:gridCol w:w="7361"/>
      </w:tblGrid>
      <w:tr>
        <w:trPr>
          <w:trHeight w:val="1019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Возможные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ситуации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коррупционной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направленности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Рекомендации по правилам поведения </w:t>
            </w:r>
          </w:p>
        </w:tc>
      </w:tr>
      <w:tr>
        <w:trPr>
          <w:trHeight w:val="283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1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  <w:vAlign w:val="cente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2</w:t>
            </w:r>
          </w:p>
        </w:tc>
      </w:tr>
      <w:tr>
        <w:trPr>
          <w:trHeight w:val="3049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1. Склонение к нарушению требований ст. 74 ФЗ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от 21.11.2011 N 323-ФЗ "Об основах охраны здоровья граждан в Российской Федерации»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Выслушать и точно запомнить предложенные действия и условия их осуществления;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-- сообщить о полученных предложениях главному врачу в письменной форме для принятия установленных законом мер воздействия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 принимать подарки, денежные средства, услуги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организаций (их представителей), реализующих лекарственные препараты, медицинские изделия, оказывающих медицинские услуги;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ahoma" w:cs="Tahoma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не заключать соглашения о назначении или рекомендации пациентам лекарственных препаратов, медицинских изделий, оказание медицинских услуг;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 получать от организаций (их представителей), реализующих лекарственные препараты, медицинские изделия, оказывающих медицинские услуги, образцы лекарственных препаратов, медицинских изделий для вручения пациентам;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 получать от организаций (их представителей), реализующих лекарственные препараты, медицинские изделия, оказывающих медицинские услуги бланки, содержащие информацию рекламного характера, а также рецептурные бланки, на которых заранее напечатано наименование лекарственного препарата, медицинского изделия, медицинской услуги;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не выписывать лекарственные препараты, медицинские изделия, направления на исследования, лечение на  бланках, содержащих информацию рекламного характера об организации, оказывающей медицинские услуги, а также на рецептурных бланках, на которых заранее напечатано наименование лекарственного препарата, медицинского изделия; </w:t>
            </w:r>
          </w:p>
        </w:tc>
      </w:tr>
      <w:tr>
        <w:trPr>
          <w:trHeight w:val="2406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2. Провокации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 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Во избежание возможных провокаций со стороны иных лиц рекомендуется: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 оставлять без присмотра служебные помещения и личные вещи (одежда, портфели, сумки и т. д.);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по окончании рабочего дня служебные помещения запирать для исключения возможности проникновения посторонних лиц;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в случае обнаружения после ухода посетителя на рабочем месте или в личных вещах каких-либо посторонних предметов,  не предпринимая никаких самостоятельных действий, немедленно доложить непосредственному руководителю для составления акта.</w:t>
            </w:r>
          </w:p>
        </w:tc>
      </w:tr>
      <w:tr>
        <w:trPr>
          <w:trHeight w:val="1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3. Предложение взятки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вести себя крайне осторожно, вежливо, без заискивания, не допуская  опрометчивых высказываний, которые могли бы трактоваться взяткодателем либо как готовность, либо как  категорический отказ принять взятку;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внимательно выслушать и точно запомнить предложенные Вам условия (размеры сумм,  наименование товаров и характер услуг, сроки и способы передачи взятки, форма коммерческого подкупа, последовательность решения вопросов);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при наличии у Вас диктофона постараться записать (скрытно) предложение о взятке;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незамедлительно сообщить о данном факте главному врачу, заполнив Уведомление 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обратиться с письменным сообщением о готовящемся преступлении в соответствующие правоохранительные органы.</w:t>
            </w:r>
          </w:p>
        </w:tc>
      </w:tr>
      <w:tr>
        <w:trPr>
          <w:trHeight w:val="1072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4. Угроза жизни и здоровью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Если на сотрудника оказывается открытое давление или осуществляется угроза его жизни и здоровью или членам его семьи рекомендуется: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по возможности скрытно включить записывающее устройство;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с угрожающими держать себя хладнокровно, а если их действия становятся агрессивными, срочно сообщить об угрозах в правоохранительные органы и главному врачу;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в случае если угрожают в спокойном тоне (без признаков агрессии) и выдвигают какие-либо условия, внимательно выслушать их, запомнить внешность угрожающих и пообещать подумать над их предложением;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немедленно доложить о факте угрозы главному врачу и написать заявление в правоохранительные органы с подробным изложением случившегося;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в случае поступления угроз по телефону по возможности определить номер телефона, с которого поступил звонок, и записать разговор на диктофон;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>
        <w:trPr>
          <w:trHeight w:val="2065" w:hRule="atLeast"/>
        </w:trPr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5. Конфликт интересов</w:t>
            </w:r>
          </w:p>
        </w:tc>
        <w:tc>
          <w:tcPr>
            <w:tcW w:w="7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 внимательно относиться к любой возможности конфликта интересов, исключая ситуации, их вызывающие;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 принимать меры по недопущению любой возможности возникновения конфликта интересов;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 в письменной форме уведомить главного врача о возникшем конфликте интересов или о возможности его возникновения, как только Вам станет об этом известно (форма уведомления на сайте);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sz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- принять меры по преодолению возникшего конфликта интересов самостоятельно или по согласованию с непосредственным руководителем, главным врачом;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both"/>
              <w:rPr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0"/>
                <w:sz w:val="26"/>
                <w:szCs w:val="26"/>
                <w:shd w:fill="FFFFFF" w:val="clear"/>
              </w:rPr>
              <w:t>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348" w:hanging="0"/>
        <w:jc w:val="center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348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284" w:right="348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0"/>
          <w:sz w:val="26"/>
          <w:szCs w:val="26"/>
          <w:shd w:fill="FFFFFF" w:val="clear"/>
        </w:rPr>
        <w:t>О фактах коррупции необходимо сообщать:</w:t>
      </w:r>
    </w:p>
    <w:p>
      <w:pPr>
        <w:pStyle w:val="Normal"/>
        <w:spacing w:lineRule="exact" w:line="240" w:before="0" w:after="0"/>
        <w:ind w:left="284" w:right="348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Главному врачу БУЗ ВО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Вологодская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городская поликлиника 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» </w:t>
      </w:r>
    </w:p>
    <w:p>
      <w:pPr>
        <w:pStyle w:val="Normal"/>
        <w:spacing w:lineRule="exact" w:line="240" w:before="0" w:after="0"/>
        <w:ind w:left="284" w:right="348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(форма уведомления имеется на сайте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).</w:t>
      </w:r>
    </w:p>
    <w:p>
      <w:pPr>
        <w:pStyle w:val="Normal"/>
        <w:spacing w:lineRule="exact" w:line="240" w:before="0" w:after="0"/>
        <w:ind w:left="284" w:right="348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8"/>
          <w:shd w:fill="FFFFFF" w:val="clear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ind w:left="284" w:right="348" w:hanging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Или</w:t>
      </w:r>
      <w:r>
        <w:rPr>
          <w:rFonts w:ascii="Georgia" w:hAnsi="Georgia"/>
          <w:sz w:val="22"/>
        </w:rPr>
        <w:t xml:space="preserve"> сообщить  информацию о фактах коррупции, не раскрывая своих персональных данных по телефону 52-56-65,  52-55-41</w:t>
      </w:r>
    </w:p>
    <w:p>
      <w:pPr>
        <w:pStyle w:val="Normal"/>
        <w:spacing w:lineRule="exact" w:line="240" w:before="0" w:after="0"/>
        <w:ind w:left="284" w:right="348" w:hanging="0"/>
        <w:jc w:val="left"/>
        <w:rPr>
          <w:rFonts w:ascii="Georgia" w:hAnsi="Georgia"/>
          <w:sz w:val="22"/>
        </w:rPr>
      </w:pPr>
      <w:r>
        <w:rPr/>
      </w:r>
    </w:p>
    <w:p>
      <w:pPr>
        <w:pStyle w:val="Normal"/>
        <w:spacing w:lineRule="exact" w:line="240" w:before="0" w:after="0"/>
        <w:ind w:left="284" w:right="348" w:hanging="0"/>
        <w:jc w:val="left"/>
        <w:rPr>
          <w:rFonts w:ascii="Georgia" w:hAnsi="Georgia"/>
          <w:sz w:val="22"/>
        </w:rPr>
      </w:pPr>
      <w:r>
        <w:rPr/>
      </w:r>
    </w:p>
    <w:p>
      <w:pPr>
        <w:pStyle w:val="Normal"/>
        <w:spacing w:lineRule="exact" w:line="240" w:before="0" w:after="0"/>
        <w:ind w:right="348" w:hanging="0"/>
        <w:jc w:val="left"/>
        <w:rPr>
          <w:rFonts w:ascii="Georgia" w:hAnsi="Georgia"/>
          <w:sz w:val="22"/>
        </w:rPr>
      </w:pPr>
      <w:r>
        <w:rPr/>
      </w:r>
    </w:p>
    <w:p>
      <w:pPr>
        <w:pStyle w:val="Normal"/>
        <w:spacing w:lineRule="exact" w:line="240" w:before="0" w:after="0"/>
        <w:ind w:left="1004" w:right="348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348" w:hanging="0"/>
        <w:jc w:val="both"/>
        <w:rPr/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Статья 6.29. Невыполнение </w:t>
      </w:r>
      <w:hyperlink r:id="rId2"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color w:val="000000"/>
            <w:spacing w:val="0"/>
            <w:sz w:val="26"/>
            <w:szCs w:val="26"/>
            <w:u w:val="single"/>
            <w:shd w:fill="FFFFFF" w:val="clear"/>
          </w:rPr>
          <w:t>обязанностей</w:t>
        </w:r>
      </w:hyperlink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о представлении информации о конфликте интересов при осуществлении медицинской деятельности и фармацевтической деятельности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348" w:hanging="0"/>
        <w:jc w:val="both"/>
        <w:rPr/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(введена Федеральным </w:t>
      </w:r>
      <w:hyperlink r:id="rId3"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color w:val="000000"/>
            <w:spacing w:val="0"/>
            <w:sz w:val="26"/>
            <w:szCs w:val="26"/>
            <w:u w:val="single"/>
            <w:shd w:fill="FFFFFF" w:val="clear"/>
          </w:rPr>
          <w:t>законом</w:t>
        </w:r>
      </w:hyperlink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от 25.11.2013 N 317-ФЗ)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1. Непредставление медицинским работником информации о возникновении конфликта интересов руководителю медицинской организации, в которой он работает, либо фармацевтическим работником информации о возникновении конфликта интересов руководителю аптечной организации, в которой он работает, -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влечет наложение административного штрафа в размере от трех тысяч до пяти тысяч рублей.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2.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-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влечет наложение административного штрафа в размере от пяти тысяч до десяти тысяч рублей.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3. Непредставление индивидуальным предпринимателем, осуществляющим медицинскую деятельность или фармацевтическую деятельность, информации о возникновении конфликта интересов в уполномоченный федеральный орган исполнительной власти -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влечет наложение административного штрафа в размере от трех тысяч до пяти тысяч рублей.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4. Совершение административного правонарушения, предусмотренного </w:t>
      </w: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u w:val="single"/>
          <w:shd w:fill="FFFFFF" w:val="clear"/>
        </w:rPr>
        <w:t>частями 1</w:t>
      </w: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, </w:t>
      </w: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u w:val="single"/>
          <w:shd w:fill="FFFFFF" w:val="clear"/>
        </w:rPr>
        <w:t>2</w:t>
      </w: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и </w:t>
      </w: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u w:val="single"/>
          <w:shd w:fill="FFFFFF" w:val="clear"/>
        </w:rPr>
        <w:t>3</w:t>
      </w: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ahoma" w:hAnsi="Tahoma" w:eastAsia="Tahoma" w:cs="Tahoma"/>
          <w:color w:val="00000A"/>
          <w:spacing w:val="0"/>
          <w:sz w:val="28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  <w:t>влечет наложение административного штрафа в размере от десяти тысяч до двадцати тысяч рублей либо дисквалификацию на срок до шести месяцев.</w:t>
      </w:r>
    </w:p>
    <w:p>
      <w:pPr>
        <w:pStyle w:val="Normal"/>
        <w:spacing w:lineRule="exact" w:line="240" w:before="0" w:after="0"/>
        <w:ind w:left="0" w:right="348" w:hanging="0"/>
        <w:jc w:val="both"/>
        <w:rPr/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u w:val="single"/>
          <w:shd w:fill="FFFFFF" w:val="clear"/>
        </w:rPr>
        <w:br/>
      </w:r>
      <w:hyperlink r:id="rId4"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color w:val="000000"/>
            <w:spacing w:val="0"/>
            <w:sz w:val="26"/>
            <w:szCs w:val="26"/>
            <w:u w:val="single"/>
            <w:shd w:fill="FFFFFF" w:val="clear"/>
          </w:rPr>
          <w:t>ст. 6.29, "Кодекс Российской Федерации об административных правонарушениях" от 30.12.2001 N 195-ФЗ (ред. от 05.10.2015) {</w:t>
        </w:r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vanish/>
            <w:color w:val="000000"/>
            <w:spacing w:val="0"/>
            <w:sz w:val="26"/>
            <w:szCs w:val="26"/>
            <w:u w:val="single"/>
            <w:shd w:fill="FFFFFF" w:val="clear"/>
          </w:rPr>
          <w:t>HYPERLINK "consultantplus://offline/ref=476512D29AC0BF5AAC771ADDD1CE2BAB442BB92B5C8F9E436A6FF7A1BF1CDCB27F2CE16DBD71z3t2G"</w:t>
        </w:r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color w:val="000000"/>
            <w:spacing w:val="0"/>
            <w:sz w:val="26"/>
            <w:szCs w:val="26"/>
            <w:u w:val="single"/>
            <w:shd w:fill="FFFFFF" w:val="clear"/>
          </w:rPr>
          <w:t>КонсультантПлюс</w:t>
        </w:r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vanish/>
            <w:color w:val="000000"/>
            <w:spacing w:val="0"/>
            <w:sz w:val="26"/>
            <w:szCs w:val="26"/>
            <w:u w:val="single"/>
            <w:shd w:fill="FFFFFF" w:val="clear"/>
          </w:rPr>
          <w:t>HYPERLINK "consultantplus://offline/ref=476512D29AC0BF5AAC771ADDD1CE2BAB442BB92B5C8F9E436A6FF7A1BF1CDCB27F2CE16DBD71z3t2G"</w:t>
        </w:r>
        <w:r>
          <w:rPr>
            <w:rStyle w:val="Style11"/>
            <w:rFonts w:eastAsia="Tahoma" w:cs="Tahoma" w:ascii="Times New Roman" w:hAnsi="Times New Roman"/>
            <w:b w:val="false"/>
            <w:bCs w:val="false"/>
            <w:i w:val="false"/>
            <w:iCs w:val="false"/>
            <w:color w:val="000000"/>
            <w:spacing w:val="0"/>
            <w:sz w:val="26"/>
            <w:szCs w:val="26"/>
            <w:u w:val="single"/>
            <w:shd w:fill="FFFFFF" w:val="clear"/>
          </w:rPr>
          <w:t>}</w:t>
        </w:r>
      </w:hyperlink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u w:val="single"/>
          <w:shd w:fill="FFFFFF" w:val="clear"/>
        </w:rPr>
        <w:br/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imes New Roman" w:hAnsi="Times New Roman" w:eastAsia="Tahoma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pPr>
      <w:r>
        <w:rPr>
          <w:rFonts w:eastAsia="Tahoma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6"/>
          <w:szCs w:val="26"/>
          <w:shd w:fill="FFFFFF" w:val="clear"/>
        </w:rPr>
      </w:r>
    </w:p>
    <w:p>
      <w:pPr>
        <w:pStyle w:val="Normal"/>
        <w:spacing w:lineRule="exact" w:line="240" w:before="0" w:after="0"/>
        <w:ind w:left="0" w:right="348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</w:r>
    </w:p>
    <w:sectPr>
      <w:type w:val="nextPage"/>
      <w:pgSz w:w="12240" w:h="15840"/>
      <w:pgMar w:left="1020" w:right="737" w:header="0" w:top="794" w:footer="0" w:bottom="79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76512D29AC0BF5AAC771ADDD1CE2BAB442BBC225D8A9E436A6FF7A1BF1CDCB27F2CE168BB7733B0z3t9G" TargetMode="External"/><Relationship Id="rId3" Type="http://schemas.openxmlformats.org/officeDocument/2006/relationships/hyperlink" Target="consultantplus://offline/ref=476512D29AC0BF5AAC771ADDD1CE2BAB4424B8285F849E436A6FF7A1BF1CDCB27F2CE168BB763AB3z3tDG" TargetMode="External"/><Relationship Id="rId4" Type="http://schemas.openxmlformats.org/officeDocument/2006/relationships/hyperlink" Target="consultantplus://offline/ref=476512D29AC0BF5AAC771ADDD1CE2BAB442BB92B5C8F9E436A6FF7A1BF1CDCB27F2CE16DBD71z3t2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293</TotalTime>
  <Application>LibreOffice/4.4.2.2$Windows_x86 LibreOffice_project/c4c7d32d0d49397cad38d62472b0bc8acff48dd6</Application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2017-04-04T16:32:11Z</dcterms:modified>
  <cp:revision>1</cp:revision>
</cp:coreProperties>
</file>